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05BFDD8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441E33FB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7C6918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EF697B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79585999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8365A">
                              <w:rPr>
                                <w:rFonts w:ascii="Arial" w:hAnsi="Arial" w:cs="Arial"/>
                              </w:rPr>
                              <w:t>Partido Acción Nacional</w:t>
                            </w:r>
                            <w:r w:rsidR="00A92CF2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A640352" w14:textId="74ED5882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8365A" w:rsidRPr="0038365A">
                              <w:rPr>
                                <w:rFonts w:ascii="Arial" w:hAnsi="Arial" w:cs="Arial"/>
                                <w:bCs/>
                              </w:rPr>
                              <w:t>C.</w:t>
                            </w:r>
                            <w:r w:rsidR="0038365A">
                              <w:rPr>
                                <w:rFonts w:ascii="Arial" w:hAnsi="Arial" w:cs="Arial"/>
                                <w:bCs/>
                              </w:rPr>
                              <w:t xml:space="preserve"> Nora Ruvalcaba Gámez, y partido 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441E33FB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7C6918">
                        <w:rPr>
                          <w:rFonts w:ascii="Arial" w:hAnsi="Arial" w:cs="Arial"/>
                        </w:rPr>
                        <w:t>1</w:t>
                      </w:r>
                      <w:r w:rsidR="00EF697B">
                        <w:rPr>
                          <w:rFonts w:ascii="Arial" w:hAnsi="Arial" w:cs="Arial"/>
                        </w:rPr>
                        <w:t>4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79585999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38365A">
                        <w:rPr>
                          <w:rFonts w:ascii="Arial" w:hAnsi="Arial" w:cs="Arial"/>
                        </w:rPr>
                        <w:t>Partido Acción Nacional</w:t>
                      </w:r>
                      <w:r w:rsidR="00A92CF2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A640352" w14:textId="74ED5882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8365A" w:rsidRPr="0038365A">
                        <w:rPr>
                          <w:rFonts w:ascii="Arial" w:hAnsi="Arial" w:cs="Arial"/>
                          <w:bCs/>
                        </w:rPr>
                        <w:t>C.</w:t>
                      </w:r>
                      <w:r w:rsidR="0038365A">
                        <w:rPr>
                          <w:rFonts w:ascii="Arial" w:hAnsi="Arial" w:cs="Arial"/>
                          <w:bCs/>
                        </w:rPr>
                        <w:t xml:space="preserve"> Nora Ruvalcaba Gámez, y partido 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5EBC7090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</w:t>
      </w:r>
      <w:r w:rsidR="00A92CF2">
        <w:rPr>
          <w:rFonts w:ascii="Arial" w:eastAsia="Times New Roman" w:hAnsi="Arial" w:cs="Arial"/>
          <w:bCs/>
          <w:lang w:val="es-ES" w:eastAsia="es-MX"/>
        </w:rPr>
        <w:t>1</w:t>
      </w:r>
      <w:r w:rsidR="0038365A">
        <w:rPr>
          <w:rFonts w:ascii="Arial" w:eastAsia="Times New Roman" w:hAnsi="Arial" w:cs="Arial"/>
          <w:bCs/>
          <w:lang w:val="es-ES" w:eastAsia="es-MX"/>
        </w:rPr>
        <w:t>27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38365A">
        <w:rPr>
          <w:rFonts w:ascii="Arial" w:eastAsia="Times New Roman" w:hAnsi="Arial" w:cs="Arial"/>
          <w:bCs/>
          <w:lang w:val="es-ES" w:eastAsia="es-MX"/>
        </w:rPr>
        <w:t>cinco</w:t>
      </w:r>
      <w:r w:rsidR="004A40D0">
        <w:rPr>
          <w:rFonts w:ascii="Arial" w:eastAsia="Times New Roman" w:hAnsi="Arial" w:cs="Arial"/>
          <w:bCs/>
          <w:lang w:val="es-ES" w:eastAsia="es-MX"/>
        </w:rPr>
        <w:t xml:space="preserve"> de </w:t>
      </w:r>
      <w:r w:rsidR="0038365A">
        <w:rPr>
          <w:rFonts w:ascii="Arial" w:eastAsia="Times New Roman" w:hAnsi="Arial" w:cs="Arial"/>
          <w:bCs/>
          <w:lang w:val="es-ES" w:eastAsia="es-MX"/>
        </w:rPr>
        <w:t>abril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2F5AC1AF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38365A">
        <w:rPr>
          <w:rFonts w:ascii="Arial" w:hAnsi="Arial" w:cs="Arial"/>
          <w:b/>
          <w:bCs/>
        </w:rPr>
        <w:t>cinco de abril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4E645653" w14:textId="2F03F2A4" w:rsidR="002816FD" w:rsidRP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7340DFC8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7C6918">
        <w:rPr>
          <w:rFonts w:ascii="Arial" w:eastAsia="Times New Roman" w:hAnsi="Arial" w:cs="Arial"/>
          <w:b/>
          <w:bCs/>
          <w:lang w:eastAsia="es-MX"/>
        </w:rPr>
        <w:t>1</w:t>
      </w:r>
      <w:r w:rsidR="0038365A">
        <w:rPr>
          <w:rFonts w:ascii="Arial" w:eastAsia="Times New Roman" w:hAnsi="Arial" w:cs="Arial"/>
          <w:b/>
          <w:bCs/>
          <w:lang w:eastAsia="es-MX"/>
        </w:rPr>
        <w:t>4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31EBF61C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854209">
        <w:rPr>
          <w:rFonts w:ascii="Arial" w:eastAsia="Times New Roman" w:hAnsi="Arial" w:cs="Arial"/>
          <w:bCs/>
          <w:lang w:eastAsia="es-MX"/>
        </w:rPr>
        <w:t xml:space="preserve"> </w:t>
      </w:r>
      <w:r w:rsidR="000C414E">
        <w:rPr>
          <w:rFonts w:ascii="Arial" w:eastAsia="Times New Roman" w:hAnsi="Arial" w:cs="Arial"/>
          <w:bCs/>
          <w:lang w:eastAsia="es-MX"/>
        </w:rPr>
        <w:t>l</w:t>
      </w:r>
      <w:r w:rsidR="00854209">
        <w:rPr>
          <w:rFonts w:ascii="Arial" w:eastAsia="Times New Roman" w:hAnsi="Arial" w:cs="Arial"/>
          <w:bCs/>
          <w:lang w:eastAsia="es-MX"/>
        </w:rPr>
        <w:t>a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Magistrad</w:t>
      </w:r>
      <w:r w:rsidR="00854209">
        <w:rPr>
          <w:rFonts w:ascii="Arial" w:eastAsia="Times New Roman" w:hAnsi="Arial" w:cs="Arial"/>
          <w:b/>
          <w:bCs/>
          <w:lang w:eastAsia="es-MX"/>
        </w:rPr>
        <w:t xml:space="preserve">a </w:t>
      </w:r>
      <w:r w:rsidR="00F34A0E">
        <w:rPr>
          <w:rFonts w:ascii="Arial" w:eastAsia="Times New Roman" w:hAnsi="Arial" w:cs="Arial"/>
          <w:b/>
          <w:bCs/>
          <w:lang w:eastAsia="es-MX"/>
        </w:rPr>
        <w:t>Laura Llamas Hernández</w:t>
      </w:r>
      <w:r w:rsidR="0085420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0EB9D723" w:rsidR="002816FD" w:rsidRPr="006E735B" w:rsidRDefault="0038365A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D7FC0FE" wp14:editId="3019159E">
            <wp:simplePos x="0" y="0"/>
            <wp:positionH relativeFrom="column">
              <wp:posOffset>1786255</wp:posOffset>
            </wp:positionH>
            <wp:positionV relativeFrom="paragraph">
              <wp:posOffset>252730</wp:posOffset>
            </wp:positionV>
            <wp:extent cx="2257425" cy="1286732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86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6FD"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="002816FD"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="002816FD"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2A341F93" w14:textId="3ACD2928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2D8665DD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45A4B4D8" w14:textId="129E3C2D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2AFD8B05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0A7F1211" w:rsidR="002816FD" w:rsidRPr="006E735B" w:rsidRDefault="0038365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C477FC" wp14:editId="6C697DB0">
            <wp:simplePos x="0" y="0"/>
            <wp:positionH relativeFrom="column">
              <wp:posOffset>2139315</wp:posOffset>
            </wp:positionH>
            <wp:positionV relativeFrom="paragraph">
              <wp:posOffset>133985</wp:posOffset>
            </wp:positionV>
            <wp:extent cx="1592544" cy="16002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44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2CC2F83E" w:rsidR="0092187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4EBA22BD" w14:textId="55D379AF" w:rsidR="0038365A" w:rsidRDefault="0038365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F0244A" w14:textId="13ACEC13" w:rsidR="0038365A" w:rsidRDefault="0038365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BE9496D" w14:textId="6FB2C119" w:rsidR="0038365A" w:rsidRDefault="0038365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7A6C881" w14:textId="1466D069" w:rsidR="0038365A" w:rsidRDefault="0038365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279BF2D" w14:textId="77777777" w:rsidR="0038365A" w:rsidRDefault="0038365A" w:rsidP="0038365A">
      <w:pPr>
        <w:pStyle w:val="Textoindependiente"/>
        <w:spacing w:line="360" w:lineRule="auto"/>
      </w:pPr>
      <w:r>
        <w:t xml:space="preserve">El que suscribe, Jesús Ociel Baena Saucedo, </w:t>
      </w:r>
      <w:proofErr w:type="gramStart"/>
      <w:r>
        <w:t>Secretario General</w:t>
      </w:r>
      <w:proofErr w:type="gramEnd"/>
      <w:r>
        <w:t xml:space="preserve"> de Acuerdos del Tribunal Electoral del Estado de Aguascalientes: -------------------------------------------------------------------------------------------</w:t>
      </w:r>
      <w:r>
        <w:rPr>
          <w:b/>
        </w:rPr>
        <w:t>C e r t i f i c a</w:t>
      </w:r>
      <w:r>
        <w:t>----------------------------------------------</w:t>
      </w:r>
    </w:p>
    <w:p w14:paraId="63A7D50C" w14:textId="00BB2DAC" w:rsidR="0038365A" w:rsidRDefault="0038365A" w:rsidP="0038365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 fundamento en </w:t>
      </w:r>
      <w:r w:rsidRPr="00C10A98">
        <w:rPr>
          <w:rFonts w:ascii="Arial" w:hAnsi="Arial"/>
          <w:sz w:val="24"/>
        </w:rPr>
        <w:t>los artículos 359, fracción V, del Código Electoral del Estado de Aguascalientes y artículo 28, fracción X, del Reglamento Interior del Tribunal Electoral de esta entidad</w:t>
      </w:r>
      <w:r>
        <w:rPr>
          <w:rFonts w:ascii="Arial" w:hAnsi="Arial"/>
          <w:sz w:val="24"/>
        </w:rPr>
        <w:t xml:space="preserve">, doy fe que la presente copia fotostática consta de una  foja útil por </w:t>
      </w:r>
      <w:r>
        <w:rPr>
          <w:rFonts w:ascii="Arial" w:hAnsi="Arial"/>
          <w:sz w:val="24"/>
        </w:rPr>
        <w:t>una sola</w:t>
      </w:r>
      <w:r>
        <w:rPr>
          <w:rFonts w:ascii="Arial" w:hAnsi="Arial"/>
          <w:sz w:val="24"/>
        </w:rPr>
        <w:t xml:space="preserve"> de sus caras, y concuerda fielmente en todas y cada una de sus partes con el Acuerdo de </w:t>
      </w:r>
      <w:r>
        <w:rPr>
          <w:rFonts w:ascii="Arial" w:hAnsi="Arial"/>
          <w:sz w:val="24"/>
        </w:rPr>
        <w:t xml:space="preserve">turno de </w:t>
      </w:r>
      <w:r>
        <w:rPr>
          <w:rFonts w:ascii="Arial" w:hAnsi="Arial"/>
          <w:sz w:val="24"/>
        </w:rPr>
        <w:t xml:space="preserve">fecha </w:t>
      </w:r>
      <w:r>
        <w:rPr>
          <w:rFonts w:ascii="Arial" w:hAnsi="Arial"/>
          <w:sz w:val="24"/>
        </w:rPr>
        <w:t>cuatro de abril</w:t>
      </w:r>
      <w:r>
        <w:rPr>
          <w:rFonts w:ascii="Arial" w:hAnsi="Arial"/>
          <w:sz w:val="24"/>
        </w:rPr>
        <w:t xml:space="preserve"> de dos mil veint</w:t>
      </w:r>
      <w:r>
        <w:rPr>
          <w:rFonts w:ascii="Arial" w:hAnsi="Arial"/>
          <w:sz w:val="24"/>
        </w:rPr>
        <w:t>idós</w:t>
      </w:r>
      <w:r>
        <w:rPr>
          <w:rFonts w:ascii="Arial" w:hAnsi="Arial"/>
          <w:sz w:val="24"/>
        </w:rPr>
        <w:t>, con la que ha sido cotejada, tuve a la vista y a la que me remito.-------------------------------------</w:t>
      </w:r>
      <w:r w:rsidR="006A4446">
        <w:rPr>
          <w:rFonts w:ascii="Arial" w:hAnsi="Arial"/>
          <w:sz w:val="24"/>
        </w:rPr>
        <w:t>-----------------------</w:t>
      </w:r>
      <w:r>
        <w:rPr>
          <w:rFonts w:ascii="Arial" w:hAnsi="Arial"/>
          <w:sz w:val="24"/>
        </w:rPr>
        <w:t>--------------------</w:t>
      </w:r>
      <w:r w:rsidRPr="00DB4A54">
        <w:rPr>
          <w:rFonts w:ascii="Arial" w:hAnsi="Arial"/>
          <w:b/>
          <w:sz w:val="24"/>
        </w:rPr>
        <w:t>conste</w:t>
      </w:r>
      <w:r>
        <w:rPr>
          <w:rFonts w:ascii="Arial" w:hAnsi="Arial"/>
          <w:sz w:val="24"/>
        </w:rPr>
        <w:t>.---------------------------------------------------</w:t>
      </w:r>
    </w:p>
    <w:p w14:paraId="38A513F0" w14:textId="4CBB49D6" w:rsidR="0038365A" w:rsidRDefault="0038365A" w:rsidP="0038365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 extiende la presente certificación a los </w:t>
      </w:r>
      <w:r w:rsidR="006A4446">
        <w:rPr>
          <w:rFonts w:ascii="Arial" w:hAnsi="Arial"/>
          <w:sz w:val="24"/>
        </w:rPr>
        <w:t>cinco</w:t>
      </w:r>
      <w:r>
        <w:rPr>
          <w:rFonts w:ascii="Arial" w:hAnsi="Arial"/>
          <w:sz w:val="24"/>
        </w:rPr>
        <w:t xml:space="preserve"> días del mes de </w:t>
      </w:r>
      <w:r w:rsidR="006A4446">
        <w:rPr>
          <w:rFonts w:ascii="Arial" w:hAnsi="Arial"/>
          <w:sz w:val="24"/>
        </w:rPr>
        <w:t>abril</w:t>
      </w:r>
      <w:r>
        <w:rPr>
          <w:rFonts w:ascii="Arial" w:hAnsi="Arial"/>
          <w:sz w:val="24"/>
        </w:rPr>
        <w:t xml:space="preserve"> del año dos mil veint</w:t>
      </w:r>
      <w:r w:rsidR="006A4446">
        <w:rPr>
          <w:rFonts w:ascii="Arial" w:hAnsi="Arial"/>
          <w:sz w:val="24"/>
        </w:rPr>
        <w:t>idós</w:t>
      </w:r>
      <w:r>
        <w:rPr>
          <w:rFonts w:ascii="Arial" w:hAnsi="Arial"/>
          <w:sz w:val="24"/>
        </w:rPr>
        <w:t xml:space="preserve">, en la ciudad de Aguascalientes, capital del Estado del mismo nombre. - </w:t>
      </w:r>
      <w:r w:rsidRPr="003D514C">
        <w:rPr>
          <w:rFonts w:ascii="Arial" w:hAnsi="Arial"/>
          <w:b/>
          <w:sz w:val="24"/>
        </w:rPr>
        <w:t>doy fe</w:t>
      </w:r>
      <w:r>
        <w:rPr>
          <w:rFonts w:ascii="Arial" w:hAnsi="Arial"/>
          <w:sz w:val="24"/>
        </w:rPr>
        <w:t>. –------------------------------------------------------------------------------------------------</w:t>
      </w:r>
    </w:p>
    <w:p w14:paraId="2FFAAB37" w14:textId="77777777" w:rsidR="0038365A" w:rsidRDefault="0038365A" w:rsidP="0038365A">
      <w:pPr>
        <w:spacing w:line="360" w:lineRule="auto"/>
        <w:jc w:val="both"/>
        <w:rPr>
          <w:rFonts w:ascii="Arial" w:hAnsi="Arial"/>
          <w:sz w:val="24"/>
        </w:rPr>
      </w:pPr>
    </w:p>
    <w:p w14:paraId="3E872C54" w14:textId="77777777" w:rsidR="0038365A" w:rsidRPr="00D94E5D" w:rsidRDefault="0038365A" w:rsidP="00383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4E5D">
        <w:rPr>
          <w:rFonts w:ascii="Arial" w:hAnsi="Arial" w:cs="Arial"/>
          <w:sz w:val="24"/>
          <w:szCs w:val="24"/>
        </w:rPr>
        <w:t>Jesús Ociel Baena Saucedo</w:t>
      </w:r>
    </w:p>
    <w:p w14:paraId="62BC7A11" w14:textId="77777777" w:rsidR="0038365A" w:rsidRPr="00D94E5D" w:rsidRDefault="0038365A" w:rsidP="00383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3A3B910" w14:textId="77777777" w:rsidR="0038365A" w:rsidRDefault="0038365A" w:rsidP="00383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4E5D">
        <w:rPr>
          <w:rFonts w:ascii="Arial" w:hAnsi="Arial" w:cs="Arial"/>
          <w:sz w:val="24"/>
          <w:szCs w:val="24"/>
        </w:rPr>
        <w:t xml:space="preserve">Secretario General </w:t>
      </w:r>
      <w:r>
        <w:rPr>
          <w:rFonts w:ascii="Arial" w:hAnsi="Arial" w:cs="Arial"/>
          <w:sz w:val="24"/>
          <w:szCs w:val="24"/>
        </w:rPr>
        <w:t>d</w:t>
      </w:r>
      <w:r w:rsidRPr="00D94E5D">
        <w:rPr>
          <w:rFonts w:ascii="Arial" w:hAnsi="Arial" w:cs="Arial"/>
          <w:sz w:val="24"/>
          <w:szCs w:val="24"/>
        </w:rPr>
        <w:t xml:space="preserve">e Acuerdos </w:t>
      </w:r>
      <w:r>
        <w:rPr>
          <w:rFonts w:ascii="Arial" w:hAnsi="Arial" w:cs="Arial"/>
          <w:sz w:val="24"/>
          <w:szCs w:val="24"/>
        </w:rPr>
        <w:t>d</w:t>
      </w:r>
      <w:r w:rsidRPr="00D94E5D">
        <w:rPr>
          <w:rFonts w:ascii="Arial" w:hAnsi="Arial" w:cs="Arial"/>
          <w:sz w:val="24"/>
          <w:szCs w:val="24"/>
        </w:rPr>
        <w:t xml:space="preserve">el </w:t>
      </w:r>
    </w:p>
    <w:p w14:paraId="6AFF8150" w14:textId="77777777" w:rsidR="0038365A" w:rsidRPr="00D94E5D" w:rsidRDefault="0038365A" w:rsidP="00383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94E5D">
        <w:rPr>
          <w:rFonts w:ascii="Arial" w:hAnsi="Arial" w:cs="Arial"/>
          <w:sz w:val="24"/>
          <w:szCs w:val="24"/>
        </w:rPr>
        <w:t xml:space="preserve">Tribunal Electoral </w:t>
      </w:r>
      <w:r>
        <w:rPr>
          <w:rFonts w:ascii="Arial" w:hAnsi="Arial" w:cs="Arial"/>
          <w:sz w:val="24"/>
          <w:szCs w:val="24"/>
        </w:rPr>
        <w:t>d</w:t>
      </w:r>
      <w:r w:rsidRPr="00D94E5D">
        <w:rPr>
          <w:rFonts w:ascii="Arial" w:hAnsi="Arial" w:cs="Arial"/>
          <w:sz w:val="24"/>
          <w:szCs w:val="24"/>
        </w:rPr>
        <w:t xml:space="preserve">el Estado </w:t>
      </w:r>
      <w:r>
        <w:rPr>
          <w:rFonts w:ascii="Arial" w:hAnsi="Arial" w:cs="Arial"/>
          <w:sz w:val="24"/>
          <w:szCs w:val="24"/>
        </w:rPr>
        <w:t>d</w:t>
      </w:r>
      <w:r w:rsidRPr="00D94E5D">
        <w:rPr>
          <w:rFonts w:ascii="Arial" w:hAnsi="Arial" w:cs="Arial"/>
          <w:sz w:val="24"/>
          <w:szCs w:val="24"/>
        </w:rPr>
        <w:t>e Aguascalientes</w:t>
      </w:r>
    </w:p>
    <w:p w14:paraId="6710C67B" w14:textId="77777777" w:rsidR="0038365A" w:rsidRPr="00D94E5D" w:rsidRDefault="0038365A" w:rsidP="0038365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5613ED" w14:textId="77777777" w:rsidR="0038365A" w:rsidRPr="002816FD" w:rsidRDefault="0038365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sectPr w:rsidR="0038365A" w:rsidRPr="002816FD" w:rsidSect="00B454EB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6A4446">
    <w:pPr>
      <w:pStyle w:val="Piedepgina"/>
      <w:jc w:val="right"/>
    </w:pPr>
  </w:p>
  <w:p w14:paraId="39FC2AA4" w14:textId="77777777" w:rsidR="00740B55" w:rsidRDefault="006A44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6A4446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6A4446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6A4446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6A4446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2816FD"/>
    <w:rsid w:val="002949CB"/>
    <w:rsid w:val="002D0923"/>
    <w:rsid w:val="003213DE"/>
    <w:rsid w:val="00334CC9"/>
    <w:rsid w:val="00337CBB"/>
    <w:rsid w:val="003739B8"/>
    <w:rsid w:val="0038365A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7553C"/>
    <w:rsid w:val="006A4446"/>
    <w:rsid w:val="006B41A0"/>
    <w:rsid w:val="00767E9A"/>
    <w:rsid w:val="007C6918"/>
    <w:rsid w:val="007D6B60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EF697B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semiHidden/>
    <w:rsid w:val="0038365A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365A"/>
    <w:rPr>
      <w:rFonts w:ascii="Arial" w:eastAsia="Times New Roman" w:hAnsi="Arial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424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7</cp:revision>
  <cp:lastPrinted>2022-04-05T17:28:00Z</cp:lastPrinted>
  <dcterms:created xsi:type="dcterms:W3CDTF">2022-03-16T17:13:00Z</dcterms:created>
  <dcterms:modified xsi:type="dcterms:W3CDTF">2022-04-05T17:28:00Z</dcterms:modified>
</cp:coreProperties>
</file>